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443160" cy="633412"/>
            <wp:effectExtent b="0" l="0" r="0" t="0"/>
            <wp:docPr descr="Curzio Research - Home of Frank Curzio and the Wall Street Unplugged  podcast network" id="3" name="image1.png"/>
            <a:graphic>
              <a:graphicData uri="http://schemas.openxmlformats.org/drawingml/2006/picture">
                <pic:pic>
                  <pic:nvPicPr>
                    <pic:cNvPr descr="Curzio Research - Home of Frank Curzio and the Wall Street Unplugged  podcast network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160" cy="633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highlight w:val="white"/>
          <w:rtl w:val="0"/>
        </w:rPr>
        <w:t xml:space="preserve">Curzio Research,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23.127441406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(Incorporated in the United States)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35.12573242187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(Company Registration Number: 83-3019751)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33.3264160156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(Share code: “CEO”)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32.727050781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ISIN: US3216201050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5.1269531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(“Curzio” or “the Company”) </w:t>
      </w:r>
    </w:p>
    <w:p w:rsidR="00000000" w:rsidDel="00000000" w:rsidP="00000000" w:rsidRDefault="00000000" w:rsidRPr="00000000" w14:paraId="00000008">
      <w:pPr>
        <w:widowControl w:val="0"/>
        <w:spacing w:before="193.52661132812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before="191.126708984375" w:line="240" w:lineRule="auto"/>
        <w:jc w:val="center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highlight w:val="white"/>
          <w:rtl w:val="0"/>
        </w:rPr>
        <w:t xml:space="preserve">ANNOUNCEMENT: GENERAL NOTICE TO SHAREHOLDERS THAT CEO WILL DELIST FROM MERJ OFFICIALLY ON NOVEMBER 18,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5.125732421875" w:line="240" w:lineRule="auto"/>
        <w:jc w:val="center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______________________________________________________________________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13.5260009765625" w:line="240" w:lineRule="auto"/>
        <w:ind w:left="0" w:firstLine="0"/>
        <w:rPr>
          <w:sz w:val="22.079999923706055"/>
          <w:szCs w:val="22.079999923706055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3.5260009765625" w:line="240" w:lineRule="auto"/>
        <w:ind w:left="369.71527099609375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77.126464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November 11, 2021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before="177.126464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Notice is hereby given that the Curzio Equity Owners token will delist from the international MERJ Exchange. The official delisting date is November 18, 2021.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before="177.12646484375" w:line="240" w:lineRule="auto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Tokens listed on MERJ Exchange will be transferred to the U.S.- based tZERO ATS. We anticipate trading on tZERO’s ATS by mid-December, 2021. </w:t>
      </w:r>
    </w:p>
    <w:p w:rsidR="00000000" w:rsidDel="00000000" w:rsidP="00000000" w:rsidRDefault="00000000" w:rsidRPr="00000000" w14:paraId="00000010">
      <w:pPr>
        <w:widowControl w:val="0"/>
        <w:spacing w:before="236.72698974609375" w:line="240" w:lineRule="auto"/>
        <w:ind w:left="14.35211181640625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Sponsor Advisor</w:t>
      </w:r>
    </w:p>
    <w:p w:rsidR="00000000" w:rsidDel="00000000" w:rsidP="00000000" w:rsidRDefault="00000000" w:rsidRPr="00000000" w14:paraId="00000011">
      <w:pPr>
        <w:widowControl w:val="0"/>
        <w:spacing w:before="237.32666015625" w:line="240" w:lineRule="auto"/>
        <w:ind w:left="16.56005859375" w:firstLine="0"/>
        <w:rPr/>
      </w:pPr>
      <w:r w:rsidDel="00000000" w:rsidR="00000000" w:rsidRPr="00000000">
        <w:rPr>
          <w:sz w:val="22.079999923706055"/>
          <w:szCs w:val="22.079999923706055"/>
          <w:rtl w:val="0"/>
        </w:rPr>
        <w:t xml:space="preserve">Digital Markets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37.32666015625" w:line="240" w:lineRule="auto"/>
        <w:ind w:left="16.56005859375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4022.7999877929688" w:top="1440.001220703125" w:left="1442.9086303710938" w:right="1377.1936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a7m2fDRyBGmgSaJzC81Sx4Sng==">AMUW2mXXPa8DxPHmAVwu5juH6qCch8ZS5nQ49KPHl9i4S0eDd4utH7Bcd/O+JJaQCIS0/aeKajNurvHPQuJUV8WM2dLuUbi0t+pdy46512I1uu6UBsQ/o74=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